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9" w:lineRule="auto"/>
        <w:ind w:left="-5" w:hanging="10"/>
        <w:rPr/>
      </w:pPr>
      <w:r w:rsidDel="00000000" w:rsidR="00000000" w:rsidRPr="00000000">
        <w:rPr>
          <w:b w:val="1"/>
          <w:rtl w:val="0"/>
        </w:rPr>
        <w:t xml:space="preserve">Sveučilište u Zagrebu Stomatološki fakultet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65" w:lineRule="auto"/>
        <w:ind w:left="-5" w:hanging="10"/>
        <w:rPr/>
      </w:pPr>
      <w:r w:rsidDel="00000000" w:rsidR="00000000" w:rsidRPr="00000000">
        <w:rPr>
          <w:rtl w:val="0"/>
        </w:rPr>
        <w:t xml:space="preserve">Doktorski studij Dentalna medicina</w:t>
      </w:r>
    </w:p>
    <w:p w:rsidR="00000000" w:rsidDel="00000000" w:rsidP="00000000" w:rsidRDefault="00000000" w:rsidRPr="00000000" w14:paraId="00000003">
      <w:pPr>
        <w:spacing w:after="116" w:lineRule="auto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60720" cy="9525"/>
                <wp:effectExtent b="0" l="0" r="0" t="0"/>
                <wp:docPr id="458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65625" y="3770475"/>
                          <a:ext cx="5760720" cy="9525"/>
                          <a:chOff x="2465625" y="3770475"/>
                          <a:chExt cx="5760750" cy="14300"/>
                        </a:xfrm>
                      </wpg:grpSpPr>
                      <wpg:grpSp>
                        <wpg:cNvGrpSpPr/>
                        <wpg:grpSpPr>
                          <a:xfrm>
                            <a:off x="2465640" y="3775238"/>
                            <a:ext cx="5760720" cy="9525"/>
                            <a:chOff x="0" y="0"/>
                            <a:chExt cx="576072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607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60720" cy="0"/>
                            </a:xfrm>
                            <a:custGeom>
                              <a:rect b="b" l="l" r="r" t="t"/>
                              <a:pathLst>
                                <a:path extrusionOk="0" h="120000" w="5760720">
                                  <a:moveTo>
                                    <a:pt x="0" y="0"/>
                                  </a:moveTo>
                                  <a:lnTo>
                                    <a:pt x="57607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60720" cy="9525"/>
                <wp:effectExtent b="0" l="0" r="0" t="0"/>
                <wp:docPr id="458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60" w:line="345" w:lineRule="auto"/>
        <w:ind w:left="10" w:right="-15" w:hanging="10"/>
        <w:jc w:val="right"/>
        <w:rPr/>
      </w:pPr>
      <w:r w:rsidDel="00000000" w:rsidR="00000000" w:rsidRPr="00000000">
        <w:rPr>
          <w:i w:val="1"/>
          <w:rtl w:val="0"/>
        </w:rPr>
        <w:t xml:space="preserve">Akademska godina 2023./2024.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2f539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Naziv predmeta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Poslovno upravljanje u dentalnoj medicini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54" w:line="265" w:lineRule="auto"/>
        <w:ind w:left="-5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Zavod/katedra na kojoj se predmet izvodi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Zavod za endodonciju i restaurativnu stomatologiju</w:t>
      </w:r>
    </w:p>
    <w:p w:rsidR="00000000" w:rsidDel="00000000" w:rsidP="00000000" w:rsidRDefault="00000000" w:rsidRPr="00000000" w14:paraId="0000000A">
      <w:pPr>
        <w:spacing w:after="154" w:line="265" w:lineRule="auto"/>
        <w:ind w:left="-5" w:hanging="1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54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Adresa sjedišta zavoda/katedre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54" w:line="265" w:lineRule="auto"/>
        <w:ind w:left="-5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Stomatološki fakultet Sveučilišta u Zagrebu, Gundulićeva 5, HR-10000 Zagreb</w:t>
      </w:r>
    </w:p>
    <w:p w:rsidR="00000000" w:rsidDel="00000000" w:rsidP="00000000" w:rsidRDefault="00000000" w:rsidRPr="00000000" w14:paraId="0000000D">
      <w:pPr>
        <w:spacing w:after="154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Broj ECTS-a   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54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Nositelj predmeta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Izv.Prof.dr. Paris Simeon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54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Suradnici na predmetu koji sudjeluju u izvođenju nastave: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Prof.dr.sc. Mislav Ante Omazić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Broj sati nastave</w:t>
      </w:r>
      <w:r w:rsidDel="00000000" w:rsidR="00000000" w:rsidRPr="00000000">
        <w:rPr>
          <w:rtl w:val="0"/>
        </w:rPr>
      </w:r>
    </w:p>
    <w:tbl>
      <w:tblPr>
        <w:tblStyle w:val="Table1"/>
        <w:tblW w:w="4531.0" w:type="dxa"/>
        <w:jc w:val="left"/>
        <w:tblInd w:w="-115.0" w:type="dxa"/>
        <w:tblLayout w:type="fixed"/>
        <w:tblLook w:val="0400"/>
      </w:tblPr>
      <w:tblGrid>
        <w:gridCol w:w="2265"/>
        <w:gridCol w:w="2266"/>
        <w:tblGridChange w:id="0">
          <w:tblGrid>
            <w:gridCol w:w="2265"/>
            <w:gridCol w:w="2266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Br. sati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Predavanja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Seminari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Vježbe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Ukupno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1B">
      <w:pPr>
        <w:spacing w:after="166" w:line="265" w:lineRule="auto"/>
        <w:ind w:left="-5" w:hanging="10"/>
        <w:rPr/>
      </w:pPr>
      <w:r w:rsidDel="00000000" w:rsidR="00000000" w:rsidRPr="00000000">
        <w:rPr>
          <w:rtl w:val="0"/>
        </w:rPr>
        <w:t xml:space="preserve">1 sat = 45 minuta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Opis predmeta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Nastava je namijenjena studentima doktorskog studija s ciljem razmatranja problematike općeg poslovnog upravljanja te kritičkog prosuđivanja poslovnog upravljanja u zdravstvenom sustavu i načina pružanja usluga kao alata na tržištu medicinskih (stomatoloških) usluga. Suvremene forme poslovnog upravljanja nastale su neposredno pod multi-disciplinskim utjecajem raznih područja prirodnih i društvenih znanosti (od informacijske tehnologije preko psihologije i sociologije do prava) gdje poslovno upravljanje s jedne strane predstavlja sintezu znanja i idealnu platformu za uporabu tehnika komunikacije i odlučivanja te uspostavljanja kvalitetnog odnosa s pacijentom, a s druge strane za uporabu tehnika rukovođenja, integracije i kontinuirane prilagodbe na promjene koje utječu na organizaciju rada neprofitnih i profitnih organizacija.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Studentima doktorskog studija prezentiraju se znanja o poduzetništvu, poslovanju i poslovnom upravljanju u zdravstvenom sustavu, zdravstvenim uslugama i njihovoj primjeni u kliničkim uvjetima, zdravstvenoj politici, projektnom menadžmentu i prikupljanju financijskih sredstava u medicini.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Također je svrha nastave upoznati studente i kritički se osvrnuti na: ponašanje stručnog medicinskog osoblja s pacijentima u ostvarivanju zdravstvene usluge, na mjesto i način ostvarivanja usluge te ekonomske i pravne norme koje prate ostvarivanje tih usluga. Studente valja upoznati i procijeniti perspektivu struke i njihove mogućnosti u profesionalnom samoostvarenju u Republici Hrvatskoj i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Europskoj Uniji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Zbog proplitanja ekonomske struke s drugim strukama (pa tako i s medicinom i njenim granama) te stalnih promjena na tržištu, znanja iz organizacije i poslovnog upravljanja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zdravstvenim sustavima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univerzalna su potreba i izvor konkurentskih prednosti u upravljanju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zdravstvenim institucijama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 osobljem. Nastava iz poslovnog upravljanja za doktorande namijenjena je kreiranju komplementarnih znanja za buduće voditelje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javnih i privatnih zdravstvenih organizacija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koji će rabiti ovaj oblik koordinirane ljudske aktivnosti i prenosivih vještina kako bi organiziranije, kvalitetnije i racionalnije zadovoljili funkcioniranje i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financiranje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zdravstvenog sustava.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54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Ishodi učenja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Osmisliti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poslovni, marketinški i financijski plan novog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poslovnog projekta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Osmisliti financiranje putem fondova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Kritički raspraviti način upravljanja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poslovnog sustava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 dentalnoj medicini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Procijeniti način pristupanja i komunikaciju s različitim psihološkim tipovima pacijenata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Analizirati i vrjednovati različite tipove odluka u poslovnom upravljanju</w:t>
      </w:r>
    </w:p>
    <w:p w:rsidR="00000000" w:rsidDel="00000000" w:rsidP="00000000" w:rsidRDefault="00000000" w:rsidRPr="00000000" w14:paraId="00000024">
      <w:pPr>
        <w:spacing w:after="865" w:line="265" w:lineRule="auto"/>
        <w:ind w:left="1426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2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Sadržaj predmeta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65" w:lineRule="auto"/>
        <w:ind w:left="-5" w:hanging="10"/>
        <w:rPr/>
      </w:pPr>
      <w:r w:rsidDel="00000000" w:rsidR="00000000" w:rsidRPr="00000000">
        <w:rPr>
          <w:rtl w:val="0"/>
        </w:rPr>
        <w:t xml:space="preserve">Predavanja</w:t>
      </w:r>
    </w:p>
    <w:tbl>
      <w:tblPr>
        <w:tblStyle w:val="Table2"/>
        <w:tblW w:w="9062.0" w:type="dxa"/>
        <w:jc w:val="left"/>
        <w:tblInd w:w="-115.0" w:type="dxa"/>
        <w:tblLayout w:type="fixed"/>
        <w:tblLook w:val="0400"/>
      </w:tblPr>
      <w:tblGrid>
        <w:gridCol w:w="846"/>
        <w:gridCol w:w="6379"/>
        <w:gridCol w:w="1837"/>
        <w:tblGridChange w:id="0">
          <w:tblGrid>
            <w:gridCol w:w="846"/>
            <w:gridCol w:w="6379"/>
            <w:gridCol w:w="1837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Teme predavanja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ind w:left="4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Broj sati nastave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A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-Osnove menadžmenta; pojam i definiranje menadžmenta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 zdravstvu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; Osnove poduzetništva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 zdravstvu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; Razlike između poslovnog upravljanja i poduzetništva;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Projektni menadžment u zdravstvu;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Funkcije menadžera i poduzetnika; Vrste odluka i njihova važnost za pojedine razine menadžmenta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-Poslovno upravljanje i poduzetništvo u zdravstvu; Poslovno upravljanje i poduzetištvo u dentalnoj medicini; Liječnik - stomatolog u ulozi menadžera i poduzetnika; Potrebna znanja i vještine za djelotvorno upravljanje; Važnost ljudskog čimbenika u poslovnom zdravstvenom sustavu; Sinergijski efekt timskog rada i način upravljanja timom; Primjeri iz prakse – stomatolog poduzetnik i stomatolog menadžer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0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Upravljanje i organizacija stomatološke ordinacije; Vanjski i unutarnji čimbenici; Fleksibilnost i kreativnost kao ključni čimbenici razvoja; Razvijanje sposobnosti menadžera za predviđanje i upravljanje promjenama; Stomatološka ordinacija u Hrvatskoj i Europskoj Uniji kao konkurentan subjekt; Naručivanje materijala i upravljanje zalihama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3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Stomatološki tim; Upravljanje stomatološkim timom; Upravljanje ljudskim resursima; Određivanje misije, vizije i ciljeva u sustavu; Liderstvo u dentalnoj medicini; Osnove komunikacije u zdravstvenom sustavu; Menadžment pacijenta; Upravljanje praktičnim radom s pacijentom u polivalentnoj ordinaciji; Upravljanje kliničkim radom specijalističke prakse; Odlučivanje u stomatologiji; Praktični primjeri odlučivanja u kliničkoj praksi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-Osnove marketinga; Pojam i definiranje marketinga u dentalnoj medicini; Upravljanje marketingom; Proizvodnja usluge kao proizvoda u dentalnoj medicini; Marketing mix medicinske usluge; Izrada marketinškog plana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Osnovna financijska izviješća; Osnove financiranja javnog i privatnog zdravstvenog sustava; Osnove prikupljanja financijskih sredstava privatnim i javnim putem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48">
      <w:pPr>
        <w:spacing w:after="98" w:line="265" w:lineRule="auto"/>
        <w:ind w:left="-5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sat = 45 minuta</w:t>
      </w:r>
    </w:p>
    <w:p w:rsidR="00000000" w:rsidDel="00000000" w:rsidP="00000000" w:rsidRDefault="00000000" w:rsidRPr="00000000" w14:paraId="00000049">
      <w:pPr>
        <w:spacing w:after="435" w:lineRule="auto"/>
        <w:ind w:left="10" w:hanging="1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</w:p>
    <w:p w:rsidR="00000000" w:rsidDel="00000000" w:rsidP="00000000" w:rsidRDefault="00000000" w:rsidRPr="00000000" w14:paraId="0000004A">
      <w:pPr>
        <w:spacing w:after="39" w:lineRule="auto"/>
        <w:ind w:left="-5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Sveučilište u Zagrebu Stomatološki fakultet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65" w:lineRule="auto"/>
        <w:ind w:left="-5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Doktorski studij Dentalna medicina</w:t>
      </w:r>
    </w:p>
    <w:p w:rsidR="00000000" w:rsidDel="00000000" w:rsidP="00000000" w:rsidRDefault="00000000" w:rsidRPr="00000000" w14:paraId="0000004C">
      <w:pPr>
        <w:spacing w:after="11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inline distB="0" distT="0" distL="0" distR="0">
                <wp:extent cx="5760720" cy="9525"/>
                <wp:effectExtent b="0" l="0" r="0" t="0"/>
                <wp:docPr id="457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65625" y="3770475"/>
                          <a:ext cx="5760720" cy="9525"/>
                          <a:chOff x="2465625" y="3770475"/>
                          <a:chExt cx="5760750" cy="14300"/>
                        </a:xfrm>
                      </wpg:grpSpPr>
                      <wpg:grpSp>
                        <wpg:cNvGrpSpPr/>
                        <wpg:grpSpPr>
                          <a:xfrm>
                            <a:off x="2465640" y="3775238"/>
                            <a:ext cx="5760720" cy="9525"/>
                            <a:chOff x="0" y="0"/>
                            <a:chExt cx="576072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607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760720" cy="0"/>
                            </a:xfrm>
                            <a:custGeom>
                              <a:rect b="b" l="l" r="r" t="t"/>
                              <a:pathLst>
                                <a:path extrusionOk="0" h="120000" w="5760720">
                                  <a:moveTo>
                                    <a:pt x="0" y="0"/>
                                  </a:moveTo>
                                  <a:lnTo>
                                    <a:pt x="57607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60720" cy="9525"/>
                <wp:effectExtent b="0" l="0" r="0" t="0"/>
                <wp:docPr id="457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638" w:line="345" w:lineRule="auto"/>
        <w:ind w:left="10" w:right="-15" w:hanging="1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Akademska godina 2021./2022.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65" w:lineRule="auto"/>
        <w:ind w:left="-5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Seminari</w:t>
      </w:r>
    </w:p>
    <w:tbl>
      <w:tblPr>
        <w:tblStyle w:val="Table3"/>
        <w:tblW w:w="9062.0" w:type="dxa"/>
        <w:jc w:val="left"/>
        <w:tblInd w:w="-115.0" w:type="dxa"/>
        <w:tblLayout w:type="fixed"/>
        <w:tblLook w:val="0400"/>
      </w:tblPr>
      <w:tblGrid>
        <w:gridCol w:w="846"/>
        <w:gridCol w:w="6379"/>
        <w:gridCol w:w="1837"/>
        <w:tblGridChange w:id="0">
          <w:tblGrid>
            <w:gridCol w:w="846"/>
            <w:gridCol w:w="6379"/>
            <w:gridCol w:w="1837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Teme seminara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ind w:left="4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Broj sati nastave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E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D">
            <w:pPr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70">
      <w:pPr>
        <w:spacing w:after="404" w:line="265" w:lineRule="auto"/>
        <w:ind w:left="-5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sat = 45 minuta</w:t>
      </w:r>
    </w:p>
    <w:p w:rsidR="00000000" w:rsidDel="00000000" w:rsidP="00000000" w:rsidRDefault="00000000" w:rsidRPr="00000000" w14:paraId="00000071">
      <w:pPr>
        <w:spacing w:after="0" w:line="265" w:lineRule="auto"/>
        <w:ind w:left="-5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Vježbe</w:t>
      </w:r>
    </w:p>
    <w:tbl>
      <w:tblPr>
        <w:tblStyle w:val="Table4"/>
        <w:tblW w:w="9062.0" w:type="dxa"/>
        <w:jc w:val="left"/>
        <w:tblInd w:w="-115.0" w:type="dxa"/>
        <w:tblLayout w:type="fixed"/>
        <w:tblLook w:val="0400"/>
      </w:tblPr>
      <w:tblGrid>
        <w:gridCol w:w="846"/>
        <w:gridCol w:w="6379"/>
        <w:gridCol w:w="1837"/>
        <w:tblGridChange w:id="0">
          <w:tblGrid>
            <w:gridCol w:w="846"/>
            <w:gridCol w:w="6379"/>
            <w:gridCol w:w="1837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Teme vježbi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4">
            <w:pPr>
              <w:ind w:left="4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Broj sati nastave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5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Upravljanje zadovoljstvom klijenta; Ophođenje s primateljem zdravstvene usluge; Aktivno sudjelovanje pacijenta u procesu oblikovanja usluge; Uspostavljanje sustava mjerenja zadovoljstva; Osnove psihologije rada s pacijentom; Psihološki profil pojedinca (pacijenta);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8">
            <w:pPr>
              <w:ind w:left="248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Izrada projekta poslovnog sustava u zdravstvu; Izrada plana financiranja poslovnog sustava putem fondova RH i 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right="26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B">
            <w:pPr>
              <w:ind w:left="248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ind w:right="2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E">
            <w:pPr>
              <w:ind w:left="248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ind w:right="2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1">
            <w:pPr>
              <w:ind w:left="248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right="2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4">
            <w:pPr>
              <w:ind w:left="248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ind w:right="2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ind w:left="248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right="2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A">
            <w:pPr>
              <w:ind w:left="248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ind w:right="2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ind w:left="248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ind w:right="2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0">
            <w:pPr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ind w:right="2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93">
      <w:pPr>
        <w:spacing w:after="973" w:line="265" w:lineRule="auto"/>
        <w:ind w:left="-5" w:hanging="10"/>
        <w:rPr/>
      </w:pPr>
      <w:r w:rsidDel="00000000" w:rsidR="00000000" w:rsidRPr="00000000">
        <w:rPr>
          <w:rtl w:val="0"/>
        </w:rPr>
        <w:t xml:space="preserve">1 sat = 45 minuta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5396"/>
          <w:sz w:val="24"/>
          <w:szCs w:val="24"/>
          <w:u w:val="none"/>
          <w:shd w:fill="auto" w:val="clear"/>
          <w:vertAlign w:val="baseline"/>
          <w:rtl w:val="0"/>
        </w:rPr>
        <w:t xml:space="preserve">Literatura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Kovačić L. (ur.). Organizacija i upravljanje u zdravstvenoj zaštiti. Zagreb, Medicinska naklada 2003.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Sikavica P, Novak M. Poslovna organizacija. III izdanje, Zagreb Informator 1999.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Simeon P. Skripta predavanja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Milanković B. Da ili ne upravljati marketingom medicinske usluge. Zagreb: vlast. nakl., 2002.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Lewis KJ. Practice Management for Dentists. London: Wright; 1989.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Žager K, Žager L. Analiza financijskih izvještaja. Zagreb: Masmedia; 1999.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Buck D. Economic evaluation and dentistry. Dent Update 2000;27(2):66-73.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Bronson CM. Financial planning 101. Money management for new dentists. NYS Dent J 2002;68(4):38-40.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Levin RP. The dental management pyramid: Part 4 – Strategic plannig. Pract Proced Aesth Dent 2002;14(8):655-7.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  <w:b w:val="1"/>
          <w:color w:val="2f53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  <w:b w:val="1"/>
          <w:color w:val="2f539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Životopis voditelja kolegija </w:t>
      </w:r>
    </w:p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Životopis – Izv. Prof.dr. Paris Simeon, dr.dent.med.</w:t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Rođen u Zagrebu. Osnovnu školu i Klasičnu gimnaziju završio je u Zagrebu. Stomatološki fakultet u Zagrebu upisao je 1987., a završio 1993. Zaposlen na Stomatološkom fakultetu i KBC "Zagreb" od 1993. do danas. Magistrirao je 1998., a doktorirao 2003. Godine. Specijalizirao je 1996-1999. Godine i Specijalist je dentalne  patologije i endodoncije. Trenutno zaposlen kao izvanredni profesor te kao specijalist na Zavodu za endodonciju i restaurativnu stomatologiju, Stomatološkog fakulteta, Zagreb. Predaje slijedeće predmete: Karijesologija, Restaurativna dentalna medicina, Endodoncija, a voditelj je dodiplomskog predmeta Etika u dentalnoj medicini, te izbornog predmeta Poslovno upravljanje u dentalnoj medicini. Područje interesa je i dijagnostika CBCT-om endodonciji, a na Ekonomskom fakultetu u Zagrebu pohađao je studij Poslovnog upravljanja (MBA). Kao autor i koautor objavio je više od 50 znanstvenih i preglednih radova. Poduzetnik je i otac.</w:t>
      </w:r>
    </w:p>
    <w:p w:rsidR="00000000" w:rsidDel="00000000" w:rsidP="00000000" w:rsidRDefault="00000000" w:rsidRPr="00000000" w14:paraId="000000A3">
      <w:pPr>
        <w:spacing w:after="1293" w:line="265" w:lineRule="auto"/>
        <w:ind w:left="-5" w:hanging="10"/>
        <w:rPr>
          <w:rFonts w:ascii="Arial" w:cs="Arial" w:eastAsia="Arial" w:hAnsi="Arial"/>
          <w:b w:val="1"/>
          <w:color w:val="2f53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293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color w:val="2f5396"/>
          <w:sz w:val="24"/>
          <w:szCs w:val="24"/>
          <w:rtl w:val="0"/>
        </w:rPr>
        <w:t xml:space="preserve">Bibliografija (ne znam napraviti poveznicu na CROSBI….uz ispriku!)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074" w:top="757" w:left="1417" w:right="14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60" w:lineRule="auto"/>
      <w:jc w:val="both"/>
    </w:pPr>
    <w:rPr>
      <w:rFonts w:ascii="Calibri" w:cs="Calibri" w:eastAsia="Calibri" w:hAnsi="Calibri"/>
      <w:b w:val="1"/>
      <w:color w:val="2f549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105E59"/>
    <w:pPr>
      <w:keepNext w:val="1"/>
      <w:keepLines w:val="1"/>
      <w:spacing w:after="40" w:before="160"/>
      <w:jc w:val="both"/>
      <w:outlineLvl w:val="1"/>
    </w:pPr>
    <w:rPr>
      <w:rFonts w:asciiTheme="majorHAnsi" w:cstheme="majorBidi" w:eastAsiaTheme="majorEastAsia" w:hAnsiTheme="majorHAnsi"/>
      <w:b w:val="1"/>
      <w:color w:val="2f5496" w:themeColor="accent1" w:themeShade="0000BF"/>
      <w:sz w:val="24"/>
      <w:szCs w:val="26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96776E"/>
    <w:pPr>
      <w:spacing w:after="60"/>
      <w:ind w:left="720"/>
      <w:contextualSpacing w:val="1"/>
      <w:jc w:val="both"/>
    </w:pPr>
    <w:rPr>
      <w:rFonts w:asciiTheme="minorHAnsi" w:cstheme="minorBidi" w:eastAsiaTheme="minorHAnsi" w:hAnsiTheme="minorHAnsi"/>
      <w:color w:val="auto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105E59"/>
    <w:rPr>
      <w:rFonts w:asciiTheme="majorHAnsi" w:cstheme="majorBidi" w:eastAsiaTheme="majorEastAsia" w:hAnsiTheme="majorHAnsi"/>
      <w:b w:val="1"/>
      <w:color w:val="2f5496" w:themeColor="accent1" w:themeShade="0000BF"/>
      <w:sz w:val="24"/>
      <w:szCs w:val="2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115.0" w:type="dxa"/>
        <w:bottom w:w="0.0" w:type="dxa"/>
        <w:right w:w="89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115.0" w:type="dxa"/>
        <w:bottom w:w="0.0" w:type="dxa"/>
        <w:right w:w="89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115.0" w:type="dxa"/>
        <w:bottom w:w="0.0" w:type="dxa"/>
        <w:right w:w="8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iiFH4TdaO0DbqBw8zGX8JL3GcA==">CgMxLjA4AHIhMWhuOXNKNUUzWnpkcF9IcVowVTZONnlub2ZLT2t0MHhh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2023-12-11T08:43:00Z</dcterms:created>
  <dc:creator>paris.simeon1@gmail.com</dc:creator>
</cp:coreProperties>
</file>